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36" w:rsidRPr="00C13A65" w:rsidRDefault="00584136" w:rsidP="00584136">
      <w:pPr>
        <w:pStyle w:val="Web"/>
        <w:spacing w:before="0" w:beforeAutospacing="0" w:line="432" w:lineRule="atLeast"/>
        <w:jc w:val="center"/>
        <w:rPr>
          <w:rFonts w:ascii="標楷體" w:eastAsia="標楷體" w:hAnsi="標楷體" w:hint="eastAsia"/>
          <w:color w:val="202020"/>
          <w:sz w:val="28"/>
          <w:szCs w:val="28"/>
        </w:rPr>
      </w:pPr>
      <w:bookmarkStart w:id="0" w:name="OLE_LINK1"/>
      <w:bookmarkStart w:id="1" w:name="_GoBack"/>
      <w:r w:rsidRPr="00C13A65">
        <w:rPr>
          <w:rFonts w:ascii="標楷體" w:eastAsia="標楷體" w:hAnsi="標楷體"/>
          <w:color w:val="202020"/>
          <w:sz w:val="28"/>
          <w:szCs w:val="28"/>
        </w:rPr>
        <w:t>赴香港及澳門</w:t>
      </w:r>
      <w:bookmarkEnd w:id="0"/>
      <w:r w:rsidR="00FE71CF" w:rsidRPr="00C13A65">
        <w:rPr>
          <w:rFonts w:ascii="標楷體" w:eastAsia="標楷體" w:hAnsi="標楷體"/>
          <w:color w:val="202020"/>
          <w:sz w:val="28"/>
          <w:szCs w:val="28"/>
        </w:rPr>
        <w:t>規定</w:t>
      </w:r>
    </w:p>
    <w:bookmarkEnd w:id="1"/>
    <w:p w:rsidR="00FE71CF" w:rsidRPr="00FE71CF" w:rsidRDefault="00FE71CF" w:rsidP="00FE71CF">
      <w:pPr>
        <w:pStyle w:val="Default"/>
        <w:spacing w:after="190"/>
        <w:ind w:left="720" w:hangingChars="300" w:hanging="720"/>
        <w:rPr>
          <w:rFonts w:hAnsi="標楷體" w:cs="新細明體"/>
          <w:color w:val="auto"/>
        </w:rPr>
      </w:pPr>
      <w:r w:rsidRPr="00FE71CF">
        <w:rPr>
          <w:rFonts w:hAnsi="標楷體"/>
          <w:color w:val="auto"/>
        </w:rPr>
        <w:t>緣由</w:t>
      </w:r>
      <w:r w:rsidRPr="00FE71CF">
        <w:rPr>
          <w:rFonts w:hAnsi="標楷體" w:hint="eastAsia"/>
          <w:color w:val="auto"/>
        </w:rPr>
        <w:t>：</w:t>
      </w:r>
      <w:r w:rsidRPr="00FE71CF">
        <w:rPr>
          <w:rFonts w:hAnsi="標楷體"/>
          <w:color w:val="auto"/>
        </w:rPr>
        <w:t>為因應香港「香港特別行政區維護國家安全法」（以下簡稱「港版國安法」）實施後，行政院及所屬 各機關(構)人員赴香港或澳門(含至香港或澳門轉機)可能遭遇之風險大幅增加。</w:t>
      </w:r>
    </w:p>
    <w:p w:rsidR="00FE71CF" w:rsidRPr="00FE71CF" w:rsidRDefault="00FE71CF" w:rsidP="00FE71CF">
      <w:pPr>
        <w:pStyle w:val="Default"/>
        <w:spacing w:after="190"/>
        <w:rPr>
          <w:rFonts w:hAnsi="標楷體" w:cs="新細明體"/>
          <w:color w:val="auto"/>
        </w:rPr>
      </w:pPr>
      <w:r w:rsidRPr="00FE71CF">
        <w:rPr>
          <w:rFonts w:hAnsi="標楷體" w:cs="新細明體" w:hint="eastAsia"/>
          <w:color w:val="auto"/>
        </w:rPr>
        <w:t>行政院及所屬各機關</w:t>
      </w:r>
      <w:r w:rsidRPr="00FE71CF">
        <w:rPr>
          <w:rFonts w:hAnsi="標楷體" w:cs="新細明體"/>
          <w:color w:val="auto"/>
        </w:rPr>
        <w:t>(</w:t>
      </w:r>
      <w:r w:rsidRPr="00FE71CF">
        <w:rPr>
          <w:rFonts w:hAnsi="標楷體" w:cs="新細明體" w:hint="eastAsia"/>
          <w:color w:val="auto"/>
        </w:rPr>
        <w:t>構</w:t>
      </w:r>
      <w:r w:rsidRPr="00FE71CF">
        <w:rPr>
          <w:rFonts w:hAnsi="標楷體" w:cs="新細明體"/>
          <w:color w:val="auto"/>
        </w:rPr>
        <w:t>)</w:t>
      </w:r>
      <w:r w:rsidRPr="00FE71CF">
        <w:rPr>
          <w:rFonts w:hAnsi="標楷體" w:cs="新細明體" w:hint="eastAsia"/>
          <w:color w:val="auto"/>
        </w:rPr>
        <w:t>人員赴香港或澳門</w:t>
      </w:r>
      <w:r w:rsidRPr="00FE71CF">
        <w:rPr>
          <w:rFonts w:hAnsi="標楷體" w:cs="新細明體"/>
          <w:color w:val="auto"/>
        </w:rPr>
        <w:t>(</w:t>
      </w:r>
      <w:r w:rsidRPr="00FE71CF">
        <w:rPr>
          <w:rFonts w:hAnsi="標楷體" w:cs="新細明體" w:hint="eastAsia"/>
          <w:color w:val="auto"/>
        </w:rPr>
        <w:t>以下簡稱港澳</w:t>
      </w:r>
      <w:r w:rsidRPr="00FE71CF">
        <w:rPr>
          <w:rFonts w:hAnsi="標楷體" w:cs="新細明體"/>
          <w:color w:val="auto"/>
        </w:rPr>
        <w:t>)</w:t>
      </w:r>
      <w:r w:rsidRPr="00FE71CF">
        <w:rPr>
          <w:rFonts w:hAnsi="標楷體" w:cs="新細明體" w:hint="eastAsia"/>
          <w:color w:val="auto"/>
        </w:rPr>
        <w:t>前，應注意下列事項：</w:t>
      </w:r>
    </w:p>
    <w:p w:rsidR="00FE71CF" w:rsidRPr="00FE71CF" w:rsidRDefault="00FE71CF" w:rsidP="00FE71CF">
      <w:pPr>
        <w:pStyle w:val="Default"/>
        <w:spacing w:after="190"/>
        <w:ind w:left="720" w:hangingChars="300" w:hanging="720"/>
        <w:rPr>
          <w:rFonts w:hAnsi="標楷體" w:cs="新細明體"/>
          <w:color w:val="auto"/>
        </w:rPr>
      </w:pPr>
      <w:r w:rsidRPr="00FE71CF">
        <w:rPr>
          <w:rFonts w:hAnsi="標楷體" w:cs="新細明體"/>
          <w:color w:val="auto"/>
        </w:rPr>
        <w:t>(</w:t>
      </w:r>
      <w:r w:rsidRPr="00FE71CF">
        <w:rPr>
          <w:rFonts w:hAnsi="標楷體" w:cs="新細明體" w:hint="eastAsia"/>
          <w:color w:val="auto"/>
        </w:rPr>
        <w:t>一</w:t>
      </w:r>
      <w:r w:rsidRPr="00FE71CF">
        <w:rPr>
          <w:rFonts w:hAnsi="標楷體" w:cs="新細明體"/>
          <w:color w:val="auto"/>
        </w:rPr>
        <w:t xml:space="preserve">) </w:t>
      </w:r>
      <w:r w:rsidRPr="00FE71CF">
        <w:rPr>
          <w:rFonts w:hAnsi="標楷體" w:cs="新細明體" w:hint="eastAsia"/>
          <w:color w:val="auto"/>
        </w:rPr>
        <w:t>行前請查閱大陸委員會網頁之政府因應「港版國安法」專區資訊，預為瞭解該法對人身安全及權益可能之風險。</w:t>
      </w:r>
    </w:p>
    <w:p w:rsidR="00FE71CF" w:rsidRPr="00FE71CF" w:rsidRDefault="00FE71CF" w:rsidP="00FE71CF">
      <w:pPr>
        <w:pStyle w:val="Default"/>
        <w:spacing w:after="190"/>
        <w:ind w:left="720" w:hangingChars="300" w:hanging="720"/>
        <w:rPr>
          <w:rFonts w:hAnsi="標楷體" w:cs="新細明體"/>
          <w:color w:val="auto"/>
        </w:rPr>
      </w:pPr>
      <w:r w:rsidRPr="00FE71CF">
        <w:rPr>
          <w:rFonts w:hAnsi="標楷體" w:cs="新細明體"/>
          <w:color w:val="auto"/>
        </w:rPr>
        <w:t>(</w:t>
      </w:r>
      <w:r w:rsidRPr="00FE71CF">
        <w:rPr>
          <w:rFonts w:hAnsi="標楷體" w:cs="新細明體" w:hint="eastAsia"/>
          <w:color w:val="auto"/>
        </w:rPr>
        <w:t>二</w:t>
      </w:r>
      <w:r w:rsidRPr="00FE71CF">
        <w:rPr>
          <w:rFonts w:hAnsi="標楷體" w:cs="新細明體"/>
          <w:color w:val="auto"/>
        </w:rPr>
        <w:t xml:space="preserve">) </w:t>
      </w:r>
      <w:r w:rsidRPr="00FE71CF">
        <w:rPr>
          <w:rFonts w:hAnsi="標楷體" w:cs="新細明體" w:hint="eastAsia"/>
          <w:color w:val="auto"/>
        </w:rPr>
        <w:t>因公務事由在港澳辦理活動或會議應妥為規劃，避免涉及敏感事務，並預先評估可能之風險及研擬因應作為；因公務事由應邀赴港澳參與活動或會議，應向邀請單位詳細瞭解相關細節，並預先評估可能之風險及研擬因應作為。必要時，得徵詢大陸委員會意見。</w:t>
      </w:r>
    </w:p>
    <w:p w:rsidR="00FE71CF" w:rsidRPr="00FE71CF" w:rsidRDefault="00FE71CF" w:rsidP="00FE71CF">
      <w:pPr>
        <w:pStyle w:val="Default"/>
        <w:spacing w:after="190"/>
        <w:ind w:left="720" w:hangingChars="300" w:hanging="720"/>
        <w:rPr>
          <w:rFonts w:hAnsi="標楷體" w:cs="新細明體"/>
          <w:color w:val="auto"/>
        </w:rPr>
      </w:pPr>
      <w:r w:rsidRPr="00FE71CF">
        <w:rPr>
          <w:rFonts w:hAnsi="標楷體" w:cs="新細明體"/>
          <w:color w:val="auto"/>
        </w:rPr>
        <w:t>(</w:t>
      </w:r>
      <w:r w:rsidRPr="00FE71CF">
        <w:rPr>
          <w:rFonts w:hAnsi="標楷體" w:cs="新細明體" w:hint="eastAsia"/>
          <w:color w:val="auto"/>
        </w:rPr>
        <w:t>三</w:t>
      </w:r>
      <w:r w:rsidRPr="00FE71CF">
        <w:rPr>
          <w:rFonts w:hAnsi="標楷體" w:cs="新細明體"/>
          <w:color w:val="auto"/>
        </w:rPr>
        <w:t xml:space="preserve">) </w:t>
      </w:r>
      <w:r w:rsidRPr="00FE71CF">
        <w:rPr>
          <w:rFonts w:hAnsi="標楷體" w:cs="新細明體" w:hint="eastAsia"/>
          <w:color w:val="auto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應留意遵守相關法令之保密規定，公務資料、物品、檔案等，非屬於與在港澳之活動或會議相關者，勿攜往港澳。攜往港澳之手機、筆電等，勿存放與在港澳之活動或會議無關之公務檔案、機敏檔案等。</w:t>
      </w:r>
    </w:p>
    <w:p w:rsidR="00FE71CF" w:rsidRPr="00FE71CF" w:rsidRDefault="00FE71CF" w:rsidP="00FE71CF">
      <w:pPr>
        <w:pStyle w:val="Default"/>
        <w:ind w:left="480" w:hangingChars="200" w:hanging="480"/>
        <w:rPr>
          <w:rFonts w:hAnsi="標楷體" w:cs="新細明體"/>
          <w:color w:val="auto"/>
        </w:rPr>
      </w:pPr>
      <w:r w:rsidRPr="00FE71CF">
        <w:rPr>
          <w:rFonts w:hAnsi="標楷體" w:cs="新細明體"/>
          <w:color w:val="auto"/>
        </w:rPr>
        <w:t>(</w:t>
      </w:r>
      <w:r w:rsidRPr="00FE71CF">
        <w:rPr>
          <w:rFonts w:hAnsi="標楷體" w:cs="新細明體" w:hint="eastAsia"/>
          <w:color w:val="auto"/>
        </w:rPr>
        <w:t>四</w:t>
      </w:r>
      <w:r w:rsidRPr="00FE71CF">
        <w:rPr>
          <w:rFonts w:hAnsi="標楷體" w:cs="新細明體"/>
          <w:color w:val="auto"/>
        </w:rPr>
        <w:t xml:space="preserve">) </w:t>
      </w:r>
      <w:r w:rsidRPr="00FE71CF">
        <w:rPr>
          <w:rFonts w:hAnsi="標楷體" w:cs="新細明體" w:hint="eastAsia"/>
          <w:color w:val="auto"/>
        </w:rPr>
        <w:t>因公務事由赴港澳，原則上應搭乘本國籍航空器或船舶；非因公務事由赴港澳，亦宜盡量搭乘本國籍航空器或船舶，並預先評估可能之風險。</w:t>
      </w:r>
    </w:p>
    <w:p w:rsidR="00FE71CF" w:rsidRPr="00FE71CF" w:rsidRDefault="00FE71CF" w:rsidP="00FE71CF">
      <w:pPr>
        <w:pStyle w:val="Default"/>
        <w:rPr>
          <w:rFonts w:hAnsi="標楷體"/>
          <w:color w:val="auto"/>
        </w:rPr>
      </w:pPr>
    </w:p>
    <w:p w:rsidR="00FE71CF" w:rsidRPr="00C13A65" w:rsidRDefault="00FE71CF" w:rsidP="00C13A6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FF0000"/>
          <w:sz w:val="28"/>
          <w:szCs w:val="28"/>
        </w:rPr>
      </w:pPr>
      <w:r w:rsidRPr="00FE71CF">
        <w:rPr>
          <w:rFonts w:ascii="標楷體" w:eastAsia="標楷體" w:hAnsi="標楷體" w:cs="新細明體" w:hint="eastAsia"/>
          <w:sz w:val="28"/>
          <w:szCs w:val="28"/>
        </w:rPr>
        <w:t>※</w:t>
      </w:r>
      <w:r w:rsidRPr="00FE71CF">
        <w:rPr>
          <w:rFonts w:ascii="標楷體" w:eastAsia="標楷體" w:hAnsi="標楷體" w:cs="新細明體" w:hint="eastAsia"/>
          <w:sz w:val="28"/>
          <w:szCs w:val="28"/>
        </w:rPr>
        <w:t>行政院及所屬各機關</w:t>
      </w:r>
      <w:r w:rsidRPr="00FE71CF">
        <w:rPr>
          <w:rFonts w:ascii="標楷體" w:eastAsia="標楷體" w:hAnsi="標楷體" w:cs="新細明體"/>
          <w:sz w:val="28"/>
          <w:szCs w:val="28"/>
        </w:rPr>
        <w:t>(</w:t>
      </w:r>
      <w:r w:rsidRPr="00FE71CF">
        <w:rPr>
          <w:rFonts w:ascii="標楷體" w:eastAsia="標楷體" w:hAnsi="標楷體" w:cs="新細明體" w:hint="eastAsia"/>
          <w:sz w:val="28"/>
          <w:szCs w:val="28"/>
        </w:rPr>
        <w:t>構</w:t>
      </w:r>
      <w:r w:rsidRPr="00FE71CF">
        <w:rPr>
          <w:rFonts w:ascii="標楷體" w:eastAsia="標楷體" w:hAnsi="標楷體" w:cs="新細明體"/>
          <w:sz w:val="28"/>
          <w:szCs w:val="28"/>
        </w:rPr>
        <w:t>)</w:t>
      </w:r>
      <w:r w:rsidRPr="00FE71CF">
        <w:rPr>
          <w:rFonts w:ascii="標楷體" w:eastAsia="標楷體" w:hAnsi="標楷體" w:cs="新細明體" w:hint="eastAsia"/>
          <w:sz w:val="28"/>
          <w:szCs w:val="28"/>
        </w:rPr>
        <w:t>人員請假赴港澳，應依各類人員請假規定辦妥請假手續。不論請假或於例假日赴港澳，</w:t>
      </w:r>
      <w:r w:rsidRPr="00C13A65">
        <w:rPr>
          <w:rFonts w:ascii="標楷體" w:eastAsia="標楷體" w:hAnsi="標楷體" w:cs="新細明體" w:hint="eastAsia"/>
          <w:color w:val="FF0000"/>
          <w:sz w:val="28"/>
          <w:szCs w:val="28"/>
        </w:rPr>
        <w:t>均應於行前至大陸委員會「國人赴港澳動態登錄系統」進行登錄</w:t>
      </w:r>
      <w:r w:rsidR="00C13A65" w:rsidRPr="00C13A65">
        <w:rPr>
          <w:rFonts w:ascii="標楷體" w:eastAsia="標楷體" w:hAnsi="標楷體" w:cs="新細明體" w:hint="eastAsia"/>
          <w:color w:val="FF0000"/>
          <w:sz w:val="28"/>
          <w:szCs w:val="28"/>
        </w:rPr>
        <w:t>(</w:t>
      </w:r>
      <w:hyperlink r:id="rId5" w:history="1">
        <w:r w:rsidRPr="00C13A65">
          <w:rPr>
            <w:rStyle w:val="a4"/>
            <w:rFonts w:ascii="標楷體" w:eastAsia="標楷體" w:hAnsi="標楷體" w:cs="新細明體"/>
            <w:color w:val="FF0000"/>
            <w:sz w:val="28"/>
            <w:szCs w:val="28"/>
          </w:rPr>
          <w:t>https://www.mac.gov.tw/</w:t>
        </w:r>
        <w:r w:rsidRPr="00C13A65">
          <w:rPr>
            <w:rStyle w:val="a4"/>
            <w:rFonts w:ascii="標楷體" w:eastAsia="標楷體" w:hAnsi="標楷體" w:cs="新細明體"/>
            <w:color w:val="FF0000"/>
            <w:sz w:val="28"/>
            <w:szCs w:val="28"/>
            <w:u w:val="none"/>
          </w:rPr>
          <w:t>-</w:t>
        </w:r>
      </w:hyperlink>
      <w:r w:rsidRPr="00C13A65">
        <w:rPr>
          <w:rFonts w:ascii="標楷體" w:eastAsia="標楷體" w:hAnsi="標楷體" w:cs="新細明體"/>
          <w:color w:val="FF0000"/>
          <w:sz w:val="28"/>
          <w:szCs w:val="28"/>
        </w:rPr>
        <w:t>臺港</w:t>
      </w:r>
      <w:r w:rsidRPr="00C13A65">
        <w:rPr>
          <w:rFonts w:ascii="標楷體" w:eastAsia="標楷體" w:hAnsi="標楷體"/>
          <w:color w:val="FF0000"/>
          <w:sz w:val="28"/>
          <w:szCs w:val="28"/>
        </w:rPr>
        <w:t>澳</w:t>
      </w:r>
      <w:r w:rsidRPr="00C13A65">
        <w:rPr>
          <w:rFonts w:ascii="標楷體" w:eastAsia="標楷體" w:hAnsi="標楷體"/>
          <w:color w:val="FF0000"/>
          <w:sz w:val="28"/>
          <w:szCs w:val="28"/>
        </w:rPr>
        <w:t>關係</w:t>
      </w:r>
      <w:r w:rsidRPr="00C13A65">
        <w:rPr>
          <w:rFonts w:ascii="標楷體" w:eastAsia="標楷體" w:hAnsi="標楷體" w:hint="eastAsia"/>
          <w:color w:val="FF0000"/>
          <w:sz w:val="28"/>
          <w:szCs w:val="28"/>
        </w:rPr>
        <w:t>- 國人赴港澳動態登錄</w:t>
      </w:r>
      <w:r w:rsidRPr="00C13A65">
        <w:rPr>
          <w:rFonts w:ascii="標楷體" w:eastAsia="標楷體" w:hAnsi="標楷體"/>
          <w:color w:val="FF0000"/>
          <w:sz w:val="28"/>
          <w:szCs w:val="28"/>
        </w:rPr>
        <w:t>)</w:t>
      </w:r>
      <w:r w:rsidRPr="00C13A6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C13A65">
        <w:rPr>
          <w:rFonts w:ascii="標楷體" w:eastAsia="標楷體" w:hAnsi="標楷體"/>
          <w:color w:val="FF0000"/>
          <w:sz w:val="28"/>
          <w:szCs w:val="28"/>
        </w:rPr>
        <w:t>並</w:t>
      </w:r>
      <w:r w:rsidRPr="00C13A65">
        <w:rPr>
          <w:rFonts w:ascii="標楷體" w:eastAsia="標楷體" w:hAnsi="標楷體" w:cs="新細明體" w:hint="eastAsia"/>
          <w:color w:val="FF0000"/>
          <w:sz w:val="28"/>
          <w:szCs w:val="28"/>
        </w:rPr>
        <w:t>，並影送</w:t>
      </w:r>
      <w:r w:rsidRPr="00C13A65">
        <w:rPr>
          <w:rFonts w:ascii="標楷體" w:eastAsia="標楷體" w:hAnsi="標楷體" w:cs="新細明體" w:hint="eastAsia"/>
          <w:color w:val="FF0000"/>
          <w:sz w:val="28"/>
          <w:szCs w:val="28"/>
        </w:rPr>
        <w:t>人事室</w:t>
      </w:r>
      <w:r w:rsidRPr="00C13A65">
        <w:rPr>
          <w:rFonts w:ascii="標楷體" w:eastAsia="標楷體" w:hAnsi="標楷體" w:cs="新細明體" w:hint="eastAsia"/>
          <w:color w:val="FF0000"/>
          <w:sz w:val="28"/>
          <w:szCs w:val="28"/>
        </w:rPr>
        <w:t>留存。</w:t>
      </w:r>
    </w:p>
    <w:p w:rsidR="00FE71CF" w:rsidRPr="00FE71CF" w:rsidRDefault="00FE71CF" w:rsidP="00FE71CF">
      <w:pPr>
        <w:pStyle w:val="Default"/>
        <w:ind w:left="720"/>
        <w:rPr>
          <w:rFonts w:hAnsi="標楷體" w:cs="新細明體" w:hint="eastAsia"/>
          <w:color w:val="auto"/>
        </w:rPr>
      </w:pPr>
    </w:p>
    <w:p w:rsidR="00FE71CF" w:rsidRPr="00FE71CF" w:rsidRDefault="00584136" w:rsidP="00FE71CF">
      <w:pPr>
        <w:pStyle w:val="Web"/>
        <w:spacing w:before="0" w:beforeAutospacing="0" w:line="400" w:lineRule="atLeast"/>
        <w:rPr>
          <w:rFonts w:ascii="標楷體" w:eastAsia="標楷體" w:hAnsi="標楷體"/>
        </w:rPr>
      </w:pPr>
      <w:r w:rsidRPr="00FE71CF">
        <w:rPr>
          <w:rFonts w:ascii="標楷體" w:eastAsia="標楷體" w:hAnsi="標楷體"/>
        </w:rPr>
        <w:t>參考法規：</w:t>
      </w:r>
    </w:p>
    <w:p w:rsidR="00FE71CF" w:rsidRDefault="00FE71CF" w:rsidP="00FE71CF">
      <w:pPr>
        <w:pStyle w:val="Web"/>
        <w:adjustRightInd w:val="0"/>
        <w:snapToGrid w:val="0"/>
        <w:spacing w:before="0" w:beforeAutospacing="0"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84136" w:rsidRPr="00FE71CF">
        <w:rPr>
          <w:rFonts w:ascii="標楷體" w:eastAsia="標楷體" w:hAnsi="標楷體"/>
        </w:rPr>
        <w:t>香港澳門關係條例。</w:t>
      </w:r>
    </w:p>
    <w:p w:rsidR="0046004B" w:rsidRPr="00FE71CF" w:rsidRDefault="00FE71CF" w:rsidP="00FE71CF">
      <w:pPr>
        <w:pStyle w:val="Web"/>
        <w:adjustRightInd w:val="0"/>
        <w:snapToGrid w:val="0"/>
        <w:spacing w:before="0" w:beforeAutospacing="0"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FE71CF">
        <w:rPr>
          <w:rFonts w:ascii="標楷體" w:eastAsia="標楷體" w:hAnsi="標楷體" w:hint="eastAsia"/>
        </w:rPr>
        <w:t>行政院及所屬各機關</w:t>
      </w:r>
      <w:r w:rsidRPr="00FE71CF">
        <w:rPr>
          <w:rFonts w:ascii="標楷體" w:eastAsia="標楷體" w:hAnsi="標楷體"/>
        </w:rPr>
        <w:t>(</w:t>
      </w:r>
      <w:r w:rsidRPr="00FE71CF">
        <w:rPr>
          <w:rFonts w:ascii="標楷體" w:eastAsia="標楷體" w:hAnsi="標楷體" w:hint="eastAsia"/>
        </w:rPr>
        <w:t>構</w:t>
      </w:r>
      <w:r w:rsidRPr="00FE71CF">
        <w:rPr>
          <w:rFonts w:ascii="標楷體" w:eastAsia="標楷體" w:hAnsi="標楷體"/>
        </w:rPr>
        <w:t>)</w:t>
      </w:r>
      <w:r w:rsidRPr="00FE71CF">
        <w:rPr>
          <w:rFonts w:ascii="標楷體" w:eastAsia="標楷體" w:hAnsi="標楷體" w:hint="eastAsia"/>
        </w:rPr>
        <w:t>人員赴香港或澳門注意事項</w:t>
      </w:r>
    </w:p>
    <w:sectPr w:rsidR="0046004B" w:rsidRPr="00FE7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26C3E"/>
    <w:multiLevelType w:val="multilevel"/>
    <w:tmpl w:val="C340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E5BF9"/>
    <w:multiLevelType w:val="multilevel"/>
    <w:tmpl w:val="2DBA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36"/>
    <w:rsid w:val="0046004B"/>
    <w:rsid w:val="00584136"/>
    <w:rsid w:val="009044B4"/>
    <w:rsid w:val="00C13A65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5691"/>
  <w15:chartTrackingRefBased/>
  <w15:docId w15:val="{B565B22D-0BCD-4E6D-98FE-5E91914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41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84136"/>
    <w:rPr>
      <w:b/>
      <w:bCs/>
    </w:rPr>
  </w:style>
  <w:style w:type="paragraph" w:customStyle="1" w:styleId="Default">
    <w:name w:val="Default"/>
    <w:rsid w:val="00FE7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FE71C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71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.gov.tw/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2023-05-18T06:19:00Z</dcterms:created>
  <dcterms:modified xsi:type="dcterms:W3CDTF">2023-05-18T06:19:00Z</dcterms:modified>
</cp:coreProperties>
</file>