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CEB" w:rsidRDefault="00C00E7B">
      <w:pPr>
        <w:pStyle w:val="Textbody"/>
        <w:spacing w:line="520" w:lineRule="exact"/>
        <w:rPr>
          <w:rFonts w:ascii="標楷體" w:eastAsia="標楷體" w:hAnsi="標楷體"/>
          <w:sz w:val="40"/>
          <w:szCs w:val="40"/>
        </w:rPr>
      </w:pPr>
      <w:bookmarkStart w:id="0" w:name="_GoBack"/>
      <w:bookmarkEnd w:id="0"/>
      <w:r>
        <w:rPr>
          <w:rFonts w:ascii="標楷體" w:eastAsia="標楷體" w:hAnsi="標楷體"/>
          <w:sz w:val="40"/>
          <w:szCs w:val="40"/>
        </w:rPr>
        <w:t>教育部國民及學前教育署補助辦理學生事務與性別平等教育及輔導工作要點第三點、第四點、第七點修正規定</w:t>
      </w:r>
    </w:p>
    <w:p w:rsidR="004B0CEB" w:rsidRDefault="00C00E7B">
      <w:pPr>
        <w:pStyle w:val="a5"/>
        <w:numPr>
          <w:ilvl w:val="0"/>
          <w:numId w:val="2"/>
        </w:numPr>
        <w:spacing w:line="400" w:lineRule="exact"/>
        <w:ind w:left="567" w:hanging="567"/>
        <w:rPr>
          <w:rFonts w:ascii="標楷體" w:eastAsia="標楷體" w:hAnsi="標楷體"/>
          <w:sz w:val="28"/>
          <w:szCs w:val="28"/>
        </w:rPr>
      </w:pPr>
      <w:r>
        <w:rPr>
          <w:rFonts w:ascii="標楷體" w:eastAsia="標楷體" w:hAnsi="標楷體"/>
          <w:sz w:val="28"/>
          <w:szCs w:val="28"/>
        </w:rPr>
        <w:t>補助範圍：</w:t>
      </w:r>
    </w:p>
    <w:p w:rsidR="004B0CEB" w:rsidRDefault="00C00E7B">
      <w:pPr>
        <w:pStyle w:val="a5"/>
        <w:spacing w:line="400" w:lineRule="exact"/>
        <w:ind w:left="1134"/>
      </w:pPr>
      <w:r>
        <w:rPr>
          <w:rFonts w:ascii="標楷體" w:eastAsia="標楷體" w:hAnsi="標楷體"/>
          <w:sz w:val="28"/>
          <w:szCs w:val="28"/>
        </w:rPr>
        <w:t>依本要點補助之範圍如下：</w:t>
      </w:r>
    </w:p>
    <w:p w:rsidR="004B0CEB" w:rsidRDefault="00C00E7B">
      <w:pPr>
        <w:pStyle w:val="a5"/>
        <w:numPr>
          <w:ilvl w:val="0"/>
          <w:numId w:val="3"/>
        </w:numPr>
        <w:spacing w:line="400" w:lineRule="exact"/>
        <w:ind w:left="1134" w:hanging="621"/>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法務部：</w:t>
      </w:r>
    </w:p>
    <w:p w:rsidR="004B0CEB" w:rsidRDefault="00C00E7B">
      <w:pPr>
        <w:pStyle w:val="a5"/>
        <w:numPr>
          <w:ilvl w:val="0"/>
          <w:numId w:val="4"/>
        </w:numPr>
        <w:tabs>
          <w:tab w:val="left" w:pos="562"/>
          <w:tab w:val="left" w:pos="1642"/>
          <w:tab w:val="left" w:pos="1702"/>
        </w:tabs>
        <w:spacing w:line="400" w:lineRule="exact"/>
        <w:ind w:left="1417" w:hanging="624"/>
        <w:rPr>
          <w:rFonts w:ascii="標楷體" w:eastAsia="標楷體" w:hAnsi="標楷體"/>
          <w:sz w:val="28"/>
          <w:szCs w:val="28"/>
        </w:rPr>
      </w:pPr>
      <w:r>
        <w:rPr>
          <w:rFonts w:ascii="標楷體" w:eastAsia="標楷體" w:hAnsi="標楷體"/>
          <w:sz w:val="28"/>
          <w:szCs w:val="28"/>
        </w:rPr>
        <w:t>與學生事務、性別平等教育及輔導工作有關之研習、宣導、競賽、課程設計、教材與教法研發、資料庫建立及影音光碟等多媒體之製作。</w:t>
      </w:r>
    </w:p>
    <w:p w:rsidR="004B0CEB" w:rsidRDefault="00C00E7B">
      <w:pPr>
        <w:pStyle w:val="a5"/>
        <w:numPr>
          <w:ilvl w:val="0"/>
          <w:numId w:val="1"/>
        </w:numPr>
        <w:tabs>
          <w:tab w:val="left" w:pos="52"/>
          <w:tab w:val="left" w:pos="1027"/>
          <w:tab w:val="left" w:pos="1132"/>
          <w:tab w:val="left" w:pos="1192"/>
        </w:tabs>
        <w:spacing w:line="400" w:lineRule="exact"/>
        <w:ind w:left="907" w:hanging="113"/>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其他與學生事務、性別平等教育及輔導工作有關之事項。</w:t>
      </w:r>
    </w:p>
    <w:p w:rsidR="004B0CEB" w:rsidRDefault="00C00E7B">
      <w:pPr>
        <w:pStyle w:val="a5"/>
        <w:numPr>
          <w:ilvl w:val="0"/>
          <w:numId w:val="3"/>
        </w:numPr>
        <w:spacing w:line="400" w:lineRule="exact"/>
        <w:ind w:left="1134" w:hanging="621"/>
        <w:rPr>
          <w:rFonts w:ascii="標楷體" w:eastAsia="標楷體" w:hAnsi="標楷體"/>
          <w:sz w:val="28"/>
          <w:szCs w:val="28"/>
        </w:rPr>
      </w:pPr>
      <w:r>
        <w:rPr>
          <w:rFonts w:ascii="標楷體" w:eastAsia="標楷體" w:hAnsi="標楷體"/>
          <w:sz w:val="28"/>
          <w:szCs w:val="28"/>
        </w:rPr>
        <w:t>地方政府：</w:t>
      </w:r>
    </w:p>
    <w:p w:rsidR="004B0CEB" w:rsidRDefault="00C00E7B">
      <w:pPr>
        <w:pStyle w:val="a5"/>
        <w:numPr>
          <w:ilvl w:val="0"/>
          <w:numId w:val="5"/>
        </w:numPr>
        <w:tabs>
          <w:tab w:val="left" w:pos="1912"/>
          <w:tab w:val="left" w:pos="2392"/>
          <w:tab w:val="left" w:pos="2797"/>
          <w:tab w:val="left" w:pos="3292"/>
          <w:tab w:val="left" w:pos="3787"/>
          <w:tab w:val="left" w:pos="4297"/>
        </w:tabs>
        <w:spacing w:line="400" w:lineRule="exact"/>
        <w:ind w:left="1417" w:hanging="624"/>
        <w:rPr>
          <w:rFonts w:ascii="標楷體" w:eastAsia="標楷體" w:hAnsi="標楷體"/>
          <w:sz w:val="28"/>
          <w:szCs w:val="28"/>
        </w:rPr>
      </w:pPr>
      <w:r>
        <w:rPr>
          <w:rFonts w:ascii="標楷體" w:eastAsia="標楷體" w:hAnsi="標楷體"/>
          <w:sz w:val="28"/>
          <w:szCs w:val="28"/>
        </w:rPr>
        <w:t>與學生事務、性別平等教育及輔導工作有關之研習、宣導、競賽、課程設計、教材與教法研發、資料庫建立、影音光碟等多媒體之製作，及執行相關工作之人力、經費。</w:t>
      </w:r>
    </w:p>
    <w:p w:rsidR="004B0CEB" w:rsidRDefault="00C00E7B">
      <w:pPr>
        <w:pStyle w:val="a5"/>
        <w:numPr>
          <w:ilvl w:val="0"/>
          <w:numId w:val="5"/>
        </w:numPr>
        <w:spacing w:line="400" w:lineRule="exact"/>
        <w:ind w:left="1417" w:hanging="624"/>
        <w:rPr>
          <w:rFonts w:ascii="標楷體" w:eastAsia="標楷體" w:hAnsi="標楷體"/>
          <w:sz w:val="28"/>
          <w:szCs w:val="28"/>
        </w:rPr>
      </w:pPr>
      <w:r>
        <w:rPr>
          <w:rFonts w:ascii="標楷體" w:eastAsia="標楷體" w:hAnsi="標楷體"/>
          <w:sz w:val="28"/>
          <w:szCs w:val="28"/>
        </w:rPr>
        <w:t>友善校園學生事務及輔導工作之運作，及執行相關工作之人力、經費。</w:t>
      </w:r>
    </w:p>
    <w:p w:rsidR="004B0CEB" w:rsidRDefault="00C00E7B">
      <w:pPr>
        <w:pStyle w:val="a5"/>
        <w:numPr>
          <w:ilvl w:val="0"/>
          <w:numId w:val="5"/>
        </w:numPr>
        <w:spacing w:line="400" w:lineRule="exact"/>
        <w:ind w:left="1417" w:hanging="624"/>
        <w:rPr>
          <w:rFonts w:ascii="標楷體" w:eastAsia="標楷體" w:hAnsi="標楷體"/>
          <w:sz w:val="28"/>
          <w:szCs w:val="28"/>
        </w:rPr>
      </w:pPr>
      <w:r>
        <w:rPr>
          <w:rFonts w:ascii="標楷體" w:eastAsia="標楷體" w:hAnsi="標楷體"/>
          <w:sz w:val="28"/>
          <w:szCs w:val="28"/>
        </w:rPr>
        <w:t>其他與學生事務、性別平等教育及輔導工作有關之事項，及其執行之人力、經費。</w:t>
      </w:r>
    </w:p>
    <w:p w:rsidR="004B0CEB" w:rsidRDefault="00C00E7B">
      <w:pPr>
        <w:pStyle w:val="a5"/>
        <w:numPr>
          <w:ilvl w:val="0"/>
          <w:numId w:val="5"/>
        </w:numPr>
        <w:spacing w:line="400" w:lineRule="exact"/>
        <w:ind w:left="1417" w:hanging="624"/>
        <w:rPr>
          <w:rFonts w:ascii="標楷體" w:eastAsia="標楷體" w:hAnsi="標楷體"/>
          <w:sz w:val="28"/>
          <w:szCs w:val="28"/>
        </w:rPr>
      </w:pPr>
      <w:r>
        <w:rPr>
          <w:rFonts w:ascii="標楷體" w:eastAsia="標楷體" w:hAnsi="標楷體"/>
          <w:sz w:val="28"/>
          <w:szCs w:val="28"/>
        </w:rPr>
        <w:t>前三目之人力、經費，地方政府得依第四點第二款第二目之實施計畫規定核</w:t>
      </w:r>
      <w:proofErr w:type="gramStart"/>
      <w:r>
        <w:rPr>
          <w:rFonts w:ascii="標楷體" w:eastAsia="標楷體" w:hAnsi="標楷體"/>
          <w:sz w:val="28"/>
          <w:szCs w:val="28"/>
        </w:rPr>
        <w:t>撥予所轄</w:t>
      </w:r>
      <w:proofErr w:type="gramEnd"/>
      <w:r>
        <w:rPr>
          <w:rFonts w:ascii="標楷體" w:eastAsia="標楷體" w:hAnsi="標楷體"/>
          <w:sz w:val="28"/>
          <w:szCs w:val="28"/>
        </w:rPr>
        <w:t>學校運用。</w:t>
      </w:r>
    </w:p>
    <w:p w:rsidR="004B0CEB" w:rsidRDefault="00C00E7B">
      <w:pPr>
        <w:pStyle w:val="a5"/>
        <w:numPr>
          <w:ilvl w:val="0"/>
          <w:numId w:val="3"/>
        </w:numPr>
        <w:spacing w:line="400" w:lineRule="exact"/>
        <w:ind w:left="1134" w:hanging="621"/>
        <w:rPr>
          <w:rFonts w:ascii="標楷體" w:eastAsia="標楷體" w:hAnsi="標楷體"/>
          <w:sz w:val="28"/>
          <w:szCs w:val="28"/>
        </w:rPr>
      </w:pPr>
      <w:r>
        <w:rPr>
          <w:rFonts w:ascii="標楷體" w:eastAsia="標楷體" w:hAnsi="標楷體"/>
          <w:sz w:val="28"/>
          <w:szCs w:val="28"/>
        </w:rPr>
        <w:t>公私立各級學校：</w:t>
      </w:r>
    </w:p>
    <w:p w:rsidR="004B0CEB" w:rsidRDefault="00C00E7B">
      <w:pPr>
        <w:pStyle w:val="a5"/>
        <w:numPr>
          <w:ilvl w:val="0"/>
          <w:numId w:val="6"/>
        </w:numPr>
        <w:spacing w:line="400" w:lineRule="exact"/>
        <w:ind w:left="1417" w:hanging="624"/>
        <w:rPr>
          <w:rFonts w:ascii="標楷體" w:eastAsia="標楷體" w:hAnsi="標楷體"/>
          <w:sz w:val="28"/>
          <w:szCs w:val="28"/>
        </w:rPr>
      </w:pPr>
      <w:r>
        <w:rPr>
          <w:rFonts w:ascii="標楷體" w:eastAsia="標楷體" w:hAnsi="標楷體"/>
          <w:sz w:val="28"/>
          <w:szCs w:val="28"/>
        </w:rPr>
        <w:t>學生事務工作、人權法治教育、學生獎懲、輔導管教與品德教育、學校社團與童軍教育、服務學習、家長參與學校事務及其他相關事項之</w:t>
      </w:r>
      <w:r>
        <w:rPr>
          <w:rFonts w:ascii="標楷體" w:eastAsia="標楷體" w:hAnsi="標楷體"/>
          <w:sz w:val="28"/>
          <w:szCs w:val="28"/>
        </w:rPr>
        <w:t>推動。</w:t>
      </w:r>
    </w:p>
    <w:p w:rsidR="004B0CEB" w:rsidRDefault="00C00E7B">
      <w:pPr>
        <w:pStyle w:val="a5"/>
        <w:numPr>
          <w:ilvl w:val="0"/>
          <w:numId w:val="6"/>
        </w:numPr>
        <w:spacing w:line="400" w:lineRule="exact"/>
        <w:ind w:left="1417" w:hanging="624"/>
        <w:rPr>
          <w:rFonts w:ascii="標楷體" w:eastAsia="標楷體" w:hAnsi="標楷體"/>
          <w:sz w:val="28"/>
          <w:szCs w:val="28"/>
        </w:rPr>
      </w:pPr>
      <w:r>
        <w:rPr>
          <w:rFonts w:ascii="標楷體" w:eastAsia="標楷體" w:hAnsi="標楷體"/>
          <w:sz w:val="28"/>
          <w:szCs w:val="28"/>
        </w:rPr>
        <w:t>性別平等教育工作、校園性侵害、性騷擾或</w:t>
      </w:r>
      <w:proofErr w:type="gramStart"/>
      <w:r>
        <w:rPr>
          <w:rFonts w:ascii="標楷體" w:eastAsia="標楷體" w:hAnsi="標楷體"/>
          <w:sz w:val="28"/>
          <w:szCs w:val="28"/>
        </w:rPr>
        <w:t>性霸凌</w:t>
      </w:r>
      <w:proofErr w:type="gramEnd"/>
      <w:r>
        <w:rPr>
          <w:rFonts w:ascii="標楷體" w:eastAsia="標楷體" w:hAnsi="標楷體"/>
          <w:sz w:val="28"/>
          <w:szCs w:val="28"/>
        </w:rPr>
        <w:t>防治之教育宣導、在職進修、研習、個案調查與教育輔導及其他相關事項之推動。</w:t>
      </w:r>
    </w:p>
    <w:p w:rsidR="004B0CEB" w:rsidRDefault="00C00E7B">
      <w:pPr>
        <w:pStyle w:val="a5"/>
        <w:numPr>
          <w:ilvl w:val="0"/>
          <w:numId w:val="6"/>
        </w:numPr>
        <w:spacing w:line="400" w:lineRule="exact"/>
        <w:ind w:left="1417" w:hanging="624"/>
        <w:rPr>
          <w:rFonts w:ascii="標楷體" w:eastAsia="標楷體" w:hAnsi="標楷體"/>
          <w:sz w:val="28"/>
          <w:szCs w:val="28"/>
        </w:rPr>
      </w:pPr>
      <w:r>
        <w:rPr>
          <w:rFonts w:ascii="標楷體" w:eastAsia="標楷體" w:hAnsi="標楷體"/>
          <w:sz w:val="28"/>
          <w:szCs w:val="28"/>
        </w:rPr>
        <w:t>學生輔導工作、生命教育、生涯輔導及其他輔導相關事項之推動。</w:t>
      </w:r>
    </w:p>
    <w:p w:rsidR="004B0CEB" w:rsidRDefault="00C00E7B">
      <w:pPr>
        <w:pStyle w:val="a5"/>
        <w:numPr>
          <w:ilvl w:val="0"/>
          <w:numId w:val="6"/>
        </w:numPr>
        <w:spacing w:line="400" w:lineRule="exact"/>
        <w:ind w:left="1417" w:hanging="624"/>
        <w:rPr>
          <w:rFonts w:ascii="標楷體" w:eastAsia="標楷體" w:hAnsi="標楷體"/>
          <w:sz w:val="28"/>
          <w:szCs w:val="28"/>
        </w:rPr>
      </w:pPr>
      <w:r>
        <w:rPr>
          <w:rFonts w:ascii="標楷體" w:eastAsia="標楷體" w:hAnsi="標楷體"/>
          <w:sz w:val="28"/>
          <w:szCs w:val="28"/>
        </w:rPr>
        <w:t>學生事務、性別平等教育（包括推動課程教學諮詢服務、校園性別事件諮詢服務）、輔導工作（包括學生輔導諮商、生命教育）及家庭教育之相關資源中心運作及設施、設備。</w:t>
      </w:r>
    </w:p>
    <w:p w:rsidR="004B0CEB" w:rsidRDefault="00C00E7B">
      <w:pPr>
        <w:pStyle w:val="a5"/>
        <w:numPr>
          <w:ilvl w:val="0"/>
          <w:numId w:val="6"/>
        </w:numPr>
        <w:spacing w:line="400" w:lineRule="exact"/>
        <w:ind w:left="1417" w:hanging="624"/>
        <w:rPr>
          <w:rFonts w:ascii="標楷體" w:eastAsia="標楷體" w:hAnsi="標楷體"/>
          <w:sz w:val="28"/>
          <w:szCs w:val="28"/>
        </w:rPr>
      </w:pPr>
      <w:r>
        <w:rPr>
          <w:rFonts w:ascii="標楷體" w:eastAsia="標楷體" w:hAnsi="標楷體"/>
          <w:sz w:val="28"/>
          <w:szCs w:val="28"/>
        </w:rPr>
        <w:t>總統教育獎表揚活動相關事項之推動。</w:t>
      </w:r>
    </w:p>
    <w:p w:rsidR="004B0CEB" w:rsidRDefault="00C00E7B">
      <w:pPr>
        <w:pStyle w:val="a5"/>
        <w:numPr>
          <w:ilvl w:val="0"/>
          <w:numId w:val="3"/>
        </w:numPr>
        <w:spacing w:line="400" w:lineRule="exact"/>
        <w:ind w:left="1191" w:hanging="624"/>
        <w:rPr>
          <w:rFonts w:ascii="標楷體" w:eastAsia="標楷體" w:hAnsi="標楷體"/>
          <w:sz w:val="28"/>
          <w:szCs w:val="28"/>
        </w:rPr>
      </w:pPr>
      <w:r>
        <w:rPr>
          <w:rFonts w:ascii="標楷體" w:eastAsia="標楷體" w:hAnsi="標楷體"/>
          <w:sz w:val="28"/>
          <w:szCs w:val="28"/>
        </w:rPr>
        <w:t>法人、團體：前款各目事項之協助推動。</w:t>
      </w:r>
    </w:p>
    <w:p w:rsidR="004B0CEB" w:rsidRDefault="00C00E7B">
      <w:pPr>
        <w:pStyle w:val="a5"/>
        <w:numPr>
          <w:ilvl w:val="0"/>
          <w:numId w:val="2"/>
        </w:numPr>
        <w:spacing w:line="400" w:lineRule="exact"/>
        <w:ind w:left="567" w:hanging="567"/>
        <w:rPr>
          <w:rFonts w:ascii="標楷體" w:eastAsia="標楷體" w:hAnsi="標楷體"/>
          <w:sz w:val="28"/>
          <w:szCs w:val="28"/>
        </w:rPr>
      </w:pPr>
      <w:r>
        <w:rPr>
          <w:rFonts w:ascii="標楷體" w:eastAsia="標楷體" w:hAnsi="標楷體"/>
          <w:sz w:val="28"/>
          <w:szCs w:val="28"/>
        </w:rPr>
        <w:t>補助基準：</w:t>
      </w:r>
    </w:p>
    <w:p w:rsidR="004B0CEB" w:rsidRDefault="00C00E7B">
      <w:pPr>
        <w:pStyle w:val="a5"/>
        <w:spacing w:line="400" w:lineRule="exact"/>
        <w:ind w:left="1134"/>
      </w:pPr>
      <w:r>
        <w:rPr>
          <w:rFonts w:ascii="標楷體" w:eastAsia="標楷體" w:hAnsi="標楷體"/>
          <w:sz w:val="28"/>
          <w:szCs w:val="28"/>
        </w:rPr>
        <w:t>本要點所定補助基準如下：</w:t>
      </w:r>
    </w:p>
    <w:p w:rsidR="004B0CEB" w:rsidRDefault="00C00E7B">
      <w:pPr>
        <w:pStyle w:val="a5"/>
        <w:numPr>
          <w:ilvl w:val="0"/>
          <w:numId w:val="7"/>
        </w:numPr>
        <w:spacing w:line="400" w:lineRule="exact"/>
        <w:ind w:left="1191" w:hanging="624"/>
        <w:rPr>
          <w:rFonts w:ascii="標楷體" w:eastAsia="標楷體" w:hAnsi="標楷體"/>
          <w:sz w:val="28"/>
          <w:szCs w:val="28"/>
        </w:rPr>
      </w:pPr>
      <w:r>
        <w:rPr>
          <w:rFonts w:ascii="標楷體" w:eastAsia="標楷體" w:hAnsi="標楷體"/>
          <w:sz w:val="28"/>
          <w:szCs w:val="28"/>
        </w:rPr>
        <w:t>法務部及公私立各級學校：依第六點第二</w:t>
      </w:r>
      <w:proofErr w:type="gramStart"/>
      <w:r>
        <w:rPr>
          <w:rFonts w:ascii="標楷體" w:eastAsia="標楷體" w:hAnsi="標楷體"/>
          <w:sz w:val="28"/>
          <w:szCs w:val="28"/>
        </w:rPr>
        <w:t>項本署核定</w:t>
      </w:r>
      <w:proofErr w:type="gramEnd"/>
      <w:r>
        <w:rPr>
          <w:rFonts w:ascii="標楷體" w:eastAsia="標楷體" w:hAnsi="標楷體"/>
          <w:sz w:val="28"/>
          <w:szCs w:val="28"/>
        </w:rPr>
        <w:t>之計畫書計算</w:t>
      </w:r>
      <w:r>
        <w:rPr>
          <w:rFonts w:ascii="標楷體" w:eastAsia="標楷體" w:hAnsi="標楷體"/>
          <w:sz w:val="28"/>
          <w:szCs w:val="28"/>
        </w:rPr>
        <w:t>所</w:t>
      </w:r>
      <w:r>
        <w:rPr>
          <w:rFonts w:ascii="標楷體" w:eastAsia="標楷體" w:hAnsi="標楷體"/>
          <w:sz w:val="28"/>
          <w:szCs w:val="28"/>
        </w:rPr>
        <w:lastRenderedPageBreak/>
        <w:t>需經費。</w:t>
      </w:r>
    </w:p>
    <w:p w:rsidR="004B0CEB" w:rsidRDefault="00C00E7B">
      <w:pPr>
        <w:pStyle w:val="a5"/>
        <w:numPr>
          <w:ilvl w:val="0"/>
          <w:numId w:val="7"/>
        </w:numPr>
        <w:spacing w:line="400" w:lineRule="exact"/>
        <w:ind w:left="1191" w:hanging="624"/>
        <w:rPr>
          <w:rFonts w:ascii="標楷體" w:eastAsia="標楷體" w:hAnsi="標楷體"/>
          <w:sz w:val="28"/>
          <w:szCs w:val="28"/>
        </w:rPr>
      </w:pPr>
      <w:r>
        <w:rPr>
          <w:rFonts w:ascii="標楷體" w:eastAsia="標楷體" w:hAnsi="標楷體"/>
          <w:sz w:val="28"/>
          <w:szCs w:val="28"/>
        </w:rPr>
        <w:t>地方政府：</w:t>
      </w:r>
    </w:p>
    <w:p w:rsidR="004B0CEB" w:rsidRDefault="00C00E7B">
      <w:pPr>
        <w:pStyle w:val="a5"/>
        <w:numPr>
          <w:ilvl w:val="0"/>
          <w:numId w:val="8"/>
        </w:numPr>
        <w:spacing w:line="400" w:lineRule="exact"/>
        <w:ind w:left="1417" w:hanging="624"/>
        <w:rPr>
          <w:rFonts w:ascii="標楷體" w:eastAsia="標楷體" w:hAnsi="標楷體"/>
          <w:sz w:val="28"/>
          <w:szCs w:val="28"/>
        </w:rPr>
      </w:pPr>
      <w:r>
        <w:rPr>
          <w:rFonts w:ascii="標楷體" w:eastAsia="標楷體" w:hAnsi="標楷體"/>
          <w:sz w:val="28"/>
          <w:szCs w:val="28"/>
        </w:rPr>
        <w:t>依第六點第二</w:t>
      </w:r>
      <w:proofErr w:type="gramStart"/>
      <w:r>
        <w:rPr>
          <w:rFonts w:ascii="標楷體" w:eastAsia="標楷體" w:hAnsi="標楷體"/>
          <w:sz w:val="28"/>
          <w:szCs w:val="28"/>
        </w:rPr>
        <w:t>項本署核定</w:t>
      </w:r>
      <w:proofErr w:type="gramEnd"/>
      <w:r>
        <w:rPr>
          <w:rFonts w:ascii="標楷體" w:eastAsia="標楷體" w:hAnsi="標楷體"/>
          <w:sz w:val="28"/>
          <w:szCs w:val="28"/>
        </w:rPr>
        <w:t>之計畫書計算所需經費後，按中央對直轄市及縣（市）政府補助辦法之規定及配合</w:t>
      </w:r>
      <w:proofErr w:type="gramStart"/>
      <w:r>
        <w:rPr>
          <w:rFonts w:ascii="標楷體" w:eastAsia="標楷體" w:hAnsi="標楷體"/>
          <w:sz w:val="28"/>
          <w:szCs w:val="28"/>
        </w:rPr>
        <w:t>本署</w:t>
      </w:r>
      <w:proofErr w:type="gramEnd"/>
      <w:r>
        <w:rPr>
          <w:rFonts w:ascii="標楷體" w:eastAsia="標楷體" w:hAnsi="標楷體"/>
          <w:sz w:val="28"/>
          <w:szCs w:val="28"/>
        </w:rPr>
        <w:t>獲配年度預算額度，就地方政府</w:t>
      </w:r>
      <w:proofErr w:type="gramStart"/>
      <w:r>
        <w:rPr>
          <w:rFonts w:ascii="標楷體" w:eastAsia="標楷體" w:hAnsi="標楷體"/>
          <w:sz w:val="28"/>
          <w:szCs w:val="28"/>
        </w:rPr>
        <w:t>財力級</w:t>
      </w:r>
      <w:proofErr w:type="gramEnd"/>
      <w:r>
        <w:rPr>
          <w:rFonts w:ascii="標楷體" w:eastAsia="標楷體" w:hAnsi="標楷體"/>
          <w:sz w:val="28"/>
          <w:szCs w:val="28"/>
        </w:rPr>
        <w:t>次，給予不同補助金額；屬第一級者，最高補助百分之七十，第二級者，最高補助百分之七十五，第三級者，最高補助百分之八十，第四級者，最高補助百分之八十五，第五級者，最高補助百分之九十。</w:t>
      </w:r>
    </w:p>
    <w:p w:rsidR="004B0CEB" w:rsidRDefault="00C00E7B">
      <w:pPr>
        <w:pStyle w:val="a5"/>
        <w:numPr>
          <w:ilvl w:val="0"/>
          <w:numId w:val="8"/>
        </w:numPr>
        <w:spacing w:line="400" w:lineRule="exact"/>
        <w:ind w:left="1417" w:hanging="567"/>
        <w:rPr>
          <w:rFonts w:ascii="標楷體" w:eastAsia="標楷體" w:hAnsi="標楷體"/>
          <w:sz w:val="28"/>
          <w:szCs w:val="28"/>
        </w:rPr>
      </w:pPr>
      <w:proofErr w:type="gramStart"/>
      <w:r>
        <w:rPr>
          <w:rFonts w:ascii="標楷體" w:eastAsia="標楷體" w:hAnsi="標楷體"/>
          <w:sz w:val="28"/>
          <w:szCs w:val="28"/>
        </w:rPr>
        <w:t>前目情形</w:t>
      </w:r>
      <w:proofErr w:type="gramEnd"/>
      <w:r>
        <w:rPr>
          <w:rFonts w:ascii="標楷體" w:eastAsia="標楷體" w:hAnsi="標楷體"/>
          <w:sz w:val="28"/>
          <w:szCs w:val="28"/>
        </w:rPr>
        <w:t>，關於前點第二款第一目至第三目之人力經費，</w:t>
      </w:r>
      <w:proofErr w:type="gramStart"/>
      <w:r>
        <w:rPr>
          <w:rFonts w:ascii="標楷體" w:eastAsia="標楷體" w:hAnsi="標楷體"/>
          <w:sz w:val="28"/>
          <w:szCs w:val="28"/>
        </w:rPr>
        <w:t>由本署</w:t>
      </w:r>
      <w:proofErr w:type="gramEnd"/>
      <w:r>
        <w:rPr>
          <w:rFonts w:ascii="標楷體" w:eastAsia="標楷體" w:hAnsi="標楷體"/>
          <w:sz w:val="28"/>
          <w:szCs w:val="28"/>
        </w:rPr>
        <w:t>依實施計畫審查後核定，各補助計畫補助經費以每人每年最高補助新臺幣六十萬元為原則，包括薪資、雇主應負擔之勞工保險費、全民健康保險費、勞工退休金及年終獎金；其他所需增列之費用，由地方政府自籌經費支應。</w:t>
      </w:r>
    </w:p>
    <w:p w:rsidR="004B0CEB" w:rsidRDefault="00C00E7B">
      <w:pPr>
        <w:pStyle w:val="a5"/>
        <w:numPr>
          <w:ilvl w:val="0"/>
          <w:numId w:val="7"/>
        </w:numPr>
        <w:spacing w:line="400" w:lineRule="exact"/>
        <w:ind w:left="1276" w:hanging="622"/>
        <w:rPr>
          <w:rFonts w:ascii="標楷體" w:eastAsia="標楷體" w:hAnsi="標楷體"/>
          <w:sz w:val="28"/>
          <w:szCs w:val="28"/>
        </w:rPr>
      </w:pPr>
      <w:r>
        <w:rPr>
          <w:rFonts w:ascii="標楷體" w:eastAsia="標楷體" w:hAnsi="標楷體"/>
          <w:sz w:val="28"/>
          <w:szCs w:val="28"/>
        </w:rPr>
        <w:t>法人、團體：依第六點第二</w:t>
      </w:r>
      <w:proofErr w:type="gramStart"/>
      <w:r>
        <w:rPr>
          <w:rFonts w:ascii="標楷體" w:eastAsia="標楷體" w:hAnsi="標楷體"/>
          <w:sz w:val="28"/>
          <w:szCs w:val="28"/>
        </w:rPr>
        <w:t>項本署核定</w:t>
      </w:r>
      <w:proofErr w:type="gramEnd"/>
      <w:r>
        <w:rPr>
          <w:rFonts w:ascii="標楷體" w:eastAsia="標楷體" w:hAnsi="標楷體"/>
          <w:sz w:val="28"/>
          <w:szCs w:val="28"/>
        </w:rPr>
        <w:t>之計畫書計算所需經費，最高補助百分之七十，且每一法人、團體每年最高補助新臺幣八十萬元。</w:t>
      </w:r>
    </w:p>
    <w:p w:rsidR="004B0CEB" w:rsidRDefault="00C00E7B">
      <w:pPr>
        <w:pStyle w:val="a5"/>
        <w:numPr>
          <w:ilvl w:val="0"/>
          <w:numId w:val="9"/>
        </w:numPr>
        <w:spacing w:line="400" w:lineRule="exact"/>
        <w:ind w:left="567" w:hanging="567"/>
        <w:rPr>
          <w:rFonts w:ascii="標楷體" w:eastAsia="標楷體" w:hAnsi="標楷體"/>
          <w:sz w:val="28"/>
          <w:szCs w:val="28"/>
        </w:rPr>
      </w:pPr>
      <w:r>
        <w:rPr>
          <w:rFonts w:ascii="標楷體" w:eastAsia="標楷體" w:hAnsi="標楷體"/>
          <w:sz w:val="28"/>
          <w:szCs w:val="28"/>
        </w:rPr>
        <w:t>經費請撥</w:t>
      </w:r>
      <w:proofErr w:type="gramStart"/>
      <w:r>
        <w:rPr>
          <w:rFonts w:ascii="標楷體" w:eastAsia="標楷體" w:hAnsi="標楷體"/>
          <w:sz w:val="28"/>
          <w:szCs w:val="28"/>
        </w:rPr>
        <w:t>及核結</w:t>
      </w:r>
      <w:proofErr w:type="gramEnd"/>
      <w:r>
        <w:rPr>
          <w:rFonts w:ascii="標楷體" w:eastAsia="標楷體" w:hAnsi="標楷體"/>
          <w:sz w:val="28"/>
          <w:szCs w:val="28"/>
        </w:rPr>
        <w:t>：</w:t>
      </w:r>
    </w:p>
    <w:p w:rsidR="004B0CEB" w:rsidRDefault="00C00E7B">
      <w:pPr>
        <w:pStyle w:val="a5"/>
        <w:spacing w:line="400" w:lineRule="exact"/>
        <w:ind w:left="1134"/>
      </w:pPr>
      <w:r>
        <w:rPr>
          <w:rFonts w:ascii="標楷體" w:eastAsia="標楷體" w:hAnsi="標楷體"/>
          <w:sz w:val="28"/>
          <w:szCs w:val="28"/>
        </w:rPr>
        <w:t>本要點補助款之請撥</w:t>
      </w:r>
      <w:proofErr w:type="gramStart"/>
      <w:r>
        <w:rPr>
          <w:rFonts w:ascii="標楷體" w:eastAsia="標楷體" w:hAnsi="標楷體"/>
          <w:sz w:val="28"/>
          <w:szCs w:val="28"/>
        </w:rPr>
        <w:t>及核結</w:t>
      </w:r>
      <w:proofErr w:type="gramEnd"/>
      <w:r>
        <w:rPr>
          <w:rFonts w:ascii="標楷體" w:eastAsia="標楷體" w:hAnsi="標楷體"/>
          <w:sz w:val="28"/>
          <w:szCs w:val="28"/>
        </w:rPr>
        <w:t>，依下列規定辦理：</w:t>
      </w:r>
    </w:p>
    <w:p w:rsidR="004B0CEB" w:rsidRDefault="00C00E7B">
      <w:pPr>
        <w:pStyle w:val="a5"/>
        <w:numPr>
          <w:ilvl w:val="0"/>
          <w:numId w:val="10"/>
        </w:numPr>
        <w:spacing w:line="400" w:lineRule="exact"/>
        <w:ind w:left="1276" w:hanging="622"/>
        <w:rPr>
          <w:rFonts w:ascii="標楷體" w:eastAsia="標楷體" w:hAnsi="標楷體"/>
          <w:sz w:val="28"/>
          <w:szCs w:val="28"/>
        </w:rPr>
      </w:pPr>
      <w:r>
        <w:rPr>
          <w:rFonts w:ascii="標楷體" w:eastAsia="標楷體" w:hAnsi="標楷體"/>
          <w:sz w:val="28"/>
          <w:szCs w:val="28"/>
        </w:rPr>
        <w:t>申請案獲准補助後，受補助單位應於文到一星期內，</w:t>
      </w:r>
      <w:proofErr w:type="gramStart"/>
      <w:r>
        <w:rPr>
          <w:rFonts w:ascii="標楷體" w:eastAsia="標楷體" w:hAnsi="標楷體"/>
          <w:sz w:val="28"/>
          <w:szCs w:val="28"/>
        </w:rPr>
        <w:t>檢附領據</w:t>
      </w:r>
      <w:proofErr w:type="gramEnd"/>
      <w:r>
        <w:rPr>
          <w:rFonts w:ascii="標楷體" w:eastAsia="標楷體" w:hAnsi="標楷體"/>
          <w:sz w:val="28"/>
          <w:szCs w:val="28"/>
        </w:rPr>
        <w:t>函</w:t>
      </w:r>
      <w:proofErr w:type="gramStart"/>
      <w:r>
        <w:rPr>
          <w:rFonts w:ascii="標楷體" w:eastAsia="標楷體" w:hAnsi="標楷體"/>
          <w:sz w:val="28"/>
          <w:szCs w:val="28"/>
        </w:rPr>
        <w:t>報本署辦</w:t>
      </w:r>
      <w:proofErr w:type="gramEnd"/>
      <w:r>
        <w:rPr>
          <w:rFonts w:ascii="標楷體" w:eastAsia="標楷體" w:hAnsi="標楷體"/>
          <w:sz w:val="28"/>
          <w:szCs w:val="28"/>
        </w:rPr>
        <w:t>理經費請撥</w:t>
      </w:r>
      <w:r>
        <w:rPr>
          <w:rFonts w:ascii="標楷體" w:eastAsia="標楷體" w:hAnsi="標楷體"/>
          <w:sz w:val="28"/>
          <w:szCs w:val="28"/>
        </w:rPr>
        <w:t>事宜；並應依核定之計畫書執行。</w:t>
      </w:r>
    </w:p>
    <w:p w:rsidR="004B0CEB" w:rsidRDefault="00C00E7B">
      <w:pPr>
        <w:pStyle w:val="a5"/>
        <w:numPr>
          <w:ilvl w:val="0"/>
          <w:numId w:val="10"/>
        </w:numPr>
        <w:spacing w:line="400" w:lineRule="exact"/>
        <w:ind w:left="1276" w:hanging="622"/>
        <w:rPr>
          <w:rFonts w:ascii="標楷體" w:eastAsia="標楷體" w:hAnsi="標楷體"/>
          <w:sz w:val="28"/>
          <w:szCs w:val="28"/>
        </w:rPr>
      </w:pPr>
      <w:r>
        <w:rPr>
          <w:rFonts w:ascii="標楷體" w:eastAsia="標楷體" w:hAnsi="標楷體"/>
          <w:sz w:val="28"/>
          <w:szCs w:val="28"/>
        </w:rPr>
        <w:t>受補助單位執行計畫書後，如需變更計畫書內容，應</w:t>
      </w:r>
      <w:proofErr w:type="gramStart"/>
      <w:r>
        <w:rPr>
          <w:rFonts w:ascii="標楷體" w:eastAsia="標楷體" w:hAnsi="標楷體"/>
          <w:sz w:val="28"/>
          <w:szCs w:val="28"/>
        </w:rPr>
        <w:t>報本署核定</w:t>
      </w:r>
      <w:proofErr w:type="gramEnd"/>
      <w:r>
        <w:rPr>
          <w:rFonts w:ascii="標楷體" w:eastAsia="標楷體" w:hAnsi="標楷體"/>
          <w:sz w:val="28"/>
          <w:szCs w:val="28"/>
        </w:rPr>
        <w:t>後辦理；地方政府主管之高級中等學校應報各該政府初審，核</w:t>
      </w:r>
      <w:proofErr w:type="gramStart"/>
      <w:r>
        <w:rPr>
          <w:rFonts w:ascii="標楷體" w:eastAsia="標楷體" w:hAnsi="標楷體"/>
          <w:sz w:val="28"/>
          <w:szCs w:val="28"/>
        </w:rPr>
        <w:t>轉本署核定</w:t>
      </w:r>
      <w:proofErr w:type="gramEnd"/>
      <w:r>
        <w:rPr>
          <w:rFonts w:ascii="標楷體" w:eastAsia="標楷體" w:hAnsi="標楷體"/>
          <w:sz w:val="28"/>
          <w:szCs w:val="28"/>
        </w:rPr>
        <w:t>後辦理。</w:t>
      </w:r>
    </w:p>
    <w:p w:rsidR="004B0CEB" w:rsidRDefault="00C00E7B">
      <w:pPr>
        <w:pStyle w:val="a5"/>
        <w:numPr>
          <w:ilvl w:val="0"/>
          <w:numId w:val="10"/>
        </w:numPr>
        <w:spacing w:line="400" w:lineRule="exact"/>
        <w:ind w:left="1276" w:hanging="622"/>
        <w:rPr>
          <w:rFonts w:ascii="標楷體" w:eastAsia="標楷體" w:hAnsi="標楷體"/>
          <w:sz w:val="28"/>
          <w:szCs w:val="28"/>
        </w:rPr>
      </w:pPr>
      <w:r>
        <w:rPr>
          <w:rFonts w:ascii="標楷體" w:eastAsia="標楷體" w:hAnsi="標楷體"/>
          <w:sz w:val="28"/>
          <w:szCs w:val="28"/>
        </w:rPr>
        <w:t>經費請撥、支用及核銷結報，應依教育部補（捐）助及委辦經費</w:t>
      </w:r>
      <w:proofErr w:type="gramStart"/>
      <w:r>
        <w:rPr>
          <w:rFonts w:ascii="標楷體" w:eastAsia="標楷體" w:hAnsi="標楷體"/>
          <w:sz w:val="28"/>
          <w:szCs w:val="28"/>
        </w:rPr>
        <w:t>核撥結報</w:t>
      </w:r>
      <w:proofErr w:type="gramEnd"/>
      <w:r>
        <w:rPr>
          <w:rFonts w:ascii="標楷體" w:eastAsia="標楷體" w:hAnsi="標楷體"/>
          <w:sz w:val="28"/>
          <w:szCs w:val="28"/>
        </w:rPr>
        <w:t>作業要點規定辦理。</w:t>
      </w:r>
    </w:p>
    <w:p w:rsidR="004B0CEB" w:rsidRDefault="004B0CEB">
      <w:pPr>
        <w:pStyle w:val="a5"/>
        <w:spacing w:line="400" w:lineRule="exact"/>
        <w:ind w:left="567"/>
      </w:pPr>
    </w:p>
    <w:sectPr w:rsidR="004B0CEB">
      <w:pgSz w:w="11906" w:h="16838"/>
      <w:pgMar w:top="1134" w:right="1134" w:bottom="1134" w:left="1134"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E7B" w:rsidRDefault="00C00E7B">
      <w:r>
        <w:separator/>
      </w:r>
    </w:p>
  </w:endnote>
  <w:endnote w:type="continuationSeparator" w:id="0">
    <w:p w:rsidR="00C00E7B" w:rsidRDefault="00C0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OpenSymbol">
    <w:charset w:val="02"/>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E7B" w:rsidRDefault="00C00E7B">
      <w:r>
        <w:rPr>
          <w:color w:val="000000"/>
        </w:rPr>
        <w:separator/>
      </w:r>
    </w:p>
  </w:footnote>
  <w:footnote w:type="continuationSeparator" w:id="0">
    <w:p w:rsidR="00C00E7B" w:rsidRDefault="00C00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1679"/>
    <w:multiLevelType w:val="multilevel"/>
    <w:tmpl w:val="C8D05432"/>
    <w:lvl w:ilvl="0">
      <w:start w:val="3"/>
      <w:numFmt w:val="japaneseCounting"/>
      <w:suff w:val="nothing"/>
      <w:lvlText w:val="%1、"/>
      <w:lvlJc w:val="left"/>
      <w:pPr>
        <w:ind w:left="798" w:hanging="798"/>
      </w:pPr>
      <w:rPr>
        <w:rFonts w:eastAsia="標楷體"/>
        <w:sz w:val="28"/>
        <w:szCs w:val="28"/>
      </w:rPr>
    </w:lvl>
    <w:lvl w:ilvl="1">
      <w:start w:val="1"/>
      <w:numFmt w:val="japaneseCounting"/>
      <w:suff w:val="nothing"/>
      <w:lvlText w:val="(%2)"/>
      <w:lvlJc w:val="left"/>
      <w:pPr>
        <w:ind w:left="1467" w:hanging="669"/>
      </w:pPr>
    </w:lvl>
    <w:lvl w:ilvl="2">
      <w:start w:val="1"/>
      <w:numFmt w:val="decimal"/>
      <w:suff w:val="nothing"/>
      <w:lvlText w:val="%3."/>
      <w:lvlJc w:val="right"/>
      <w:pPr>
        <w:ind w:left="1764" w:hanging="293"/>
      </w:pPr>
    </w:lvl>
    <w:lvl w:ilvl="3">
      <w:start w:val="1"/>
      <w:numFmt w:val="decimal"/>
      <w:suff w:val="nothing"/>
      <w:lvlText w:val="(%4)"/>
      <w:lvlJc w:val="left"/>
      <w:pPr>
        <w:ind w:left="2222" w:hanging="458"/>
      </w:pPr>
    </w:lvl>
    <w:lvl w:ilvl="4">
      <w:start w:val="1"/>
      <w:numFmt w:val="upperLetter"/>
      <w:suff w:val="nothing"/>
      <w:lvlText w:val="%5."/>
      <w:lvlJc w:val="left"/>
      <w:pPr>
        <w:ind w:left="2615" w:hanging="392"/>
      </w:pPr>
    </w:lvl>
    <w:lvl w:ilvl="5">
      <w:start w:val="1"/>
      <w:numFmt w:val="upperLetter"/>
      <w:suff w:val="nothing"/>
      <w:lvlText w:val="(%6)"/>
      <w:lvlJc w:val="right"/>
      <w:pPr>
        <w:ind w:left="3177" w:hanging="563"/>
      </w:pPr>
    </w:lvl>
    <w:lvl w:ilvl="6">
      <w:start w:val="1"/>
      <w:numFmt w:val="lowerLetter"/>
      <w:suff w:val="nothing"/>
      <w:lvlText w:val="%7."/>
      <w:lvlJc w:val="left"/>
      <w:pPr>
        <w:ind w:left="3177" w:firstLine="0"/>
      </w:pPr>
    </w:lvl>
    <w:lvl w:ilvl="7">
      <w:start w:val="1"/>
      <w:numFmt w:val="lowerLetter"/>
      <w:suff w:val="nothing"/>
      <w:lvlText w:val="(%8)"/>
      <w:lvlJc w:val="left"/>
      <w:pPr>
        <w:ind w:left="3177" w:firstLine="0"/>
      </w:pPr>
    </w:lvl>
    <w:lvl w:ilvl="8">
      <w:start w:val="1"/>
      <w:numFmt w:val="lowerLetter"/>
      <w:suff w:val="nothing"/>
      <w:lvlText w:val="%9."/>
      <w:lvlJc w:val="right"/>
      <w:pPr>
        <w:ind w:left="3177" w:firstLine="0"/>
      </w:pPr>
    </w:lvl>
  </w:abstractNum>
  <w:abstractNum w:abstractNumId="1" w15:restartNumberingAfterBreak="0">
    <w:nsid w:val="0E917B47"/>
    <w:multiLevelType w:val="multilevel"/>
    <w:tmpl w:val="5DBECE68"/>
    <w:styleLink w:val="Numbering123"/>
    <w:lvl w:ilvl="0">
      <w:start w:val="1"/>
      <w:numFmt w:val="decimal"/>
      <w:lvlText w:val="%1."/>
      <w:lvlJc w:val="left"/>
      <w:pPr>
        <w:ind w:left="754" w:hanging="397"/>
      </w:pPr>
      <w:rPr>
        <w:rFonts w:eastAsia="標楷體"/>
        <w:sz w:val="28"/>
        <w:szCs w:val="28"/>
      </w:rPr>
    </w:lvl>
    <w:lvl w:ilvl="1">
      <w:start w:val="1"/>
      <w:numFmt w:val="decimal"/>
      <w:lvlText w:val="%2."/>
      <w:lvlJc w:val="left"/>
      <w:pPr>
        <w:ind w:left="1151" w:hanging="397"/>
      </w:pPr>
      <w:rPr>
        <w:rFonts w:eastAsia="標楷體"/>
        <w:sz w:val="28"/>
        <w:szCs w:val="28"/>
      </w:rPr>
    </w:lvl>
    <w:lvl w:ilvl="2">
      <w:start w:val="1"/>
      <w:numFmt w:val="decimal"/>
      <w:lvlText w:val="%3."/>
      <w:lvlJc w:val="left"/>
      <w:pPr>
        <w:ind w:left="1548" w:hanging="397"/>
      </w:pPr>
      <w:rPr>
        <w:rFonts w:eastAsia="標楷體"/>
        <w:sz w:val="28"/>
        <w:szCs w:val="28"/>
      </w:rPr>
    </w:lvl>
    <w:lvl w:ilvl="3">
      <w:start w:val="1"/>
      <w:numFmt w:val="decimal"/>
      <w:lvlText w:val="%4."/>
      <w:lvlJc w:val="left"/>
      <w:pPr>
        <w:ind w:left="1945" w:hanging="397"/>
      </w:pPr>
      <w:rPr>
        <w:rFonts w:eastAsia="標楷體"/>
        <w:sz w:val="28"/>
        <w:szCs w:val="28"/>
      </w:rPr>
    </w:lvl>
    <w:lvl w:ilvl="4">
      <w:start w:val="1"/>
      <w:numFmt w:val="decimal"/>
      <w:lvlText w:val="%5."/>
      <w:lvlJc w:val="left"/>
      <w:pPr>
        <w:ind w:left="2342" w:hanging="397"/>
      </w:pPr>
      <w:rPr>
        <w:rFonts w:eastAsia="標楷體"/>
        <w:sz w:val="28"/>
        <w:szCs w:val="28"/>
      </w:rPr>
    </w:lvl>
    <w:lvl w:ilvl="5">
      <w:start w:val="1"/>
      <w:numFmt w:val="decimal"/>
      <w:lvlText w:val="%6."/>
      <w:lvlJc w:val="left"/>
      <w:pPr>
        <w:ind w:left="2738" w:hanging="397"/>
      </w:pPr>
      <w:rPr>
        <w:rFonts w:eastAsia="標楷體"/>
        <w:sz w:val="28"/>
        <w:szCs w:val="28"/>
      </w:rPr>
    </w:lvl>
    <w:lvl w:ilvl="6">
      <w:start w:val="1"/>
      <w:numFmt w:val="decimal"/>
      <w:lvlText w:val="%7."/>
      <w:lvlJc w:val="left"/>
      <w:pPr>
        <w:ind w:left="3135" w:hanging="397"/>
      </w:pPr>
      <w:rPr>
        <w:rFonts w:eastAsia="標楷體"/>
        <w:sz w:val="28"/>
        <w:szCs w:val="28"/>
      </w:rPr>
    </w:lvl>
    <w:lvl w:ilvl="7">
      <w:start w:val="1"/>
      <w:numFmt w:val="decimal"/>
      <w:lvlText w:val="%8."/>
      <w:lvlJc w:val="left"/>
      <w:pPr>
        <w:ind w:left="3532" w:hanging="397"/>
      </w:pPr>
      <w:rPr>
        <w:rFonts w:eastAsia="標楷體"/>
        <w:sz w:val="28"/>
        <w:szCs w:val="28"/>
      </w:rPr>
    </w:lvl>
    <w:lvl w:ilvl="8">
      <w:start w:val="1"/>
      <w:numFmt w:val="decimal"/>
      <w:lvlText w:val="%9."/>
      <w:lvlJc w:val="left"/>
      <w:pPr>
        <w:ind w:left="3929" w:hanging="397"/>
      </w:pPr>
      <w:rPr>
        <w:rFonts w:eastAsia="標楷體"/>
        <w:sz w:val="28"/>
        <w:szCs w:val="28"/>
      </w:rPr>
    </w:lvl>
  </w:abstractNum>
  <w:abstractNum w:abstractNumId="2" w15:restartNumberingAfterBreak="0">
    <w:nsid w:val="0F346F08"/>
    <w:multiLevelType w:val="multilevel"/>
    <w:tmpl w:val="8C308B88"/>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3" w15:restartNumberingAfterBreak="0">
    <w:nsid w:val="1D840A71"/>
    <w:multiLevelType w:val="multilevel"/>
    <w:tmpl w:val="8690CDE6"/>
    <w:lvl w:ilvl="0">
      <w:start w:val="7"/>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4" w15:restartNumberingAfterBreak="0">
    <w:nsid w:val="202D141D"/>
    <w:multiLevelType w:val="multilevel"/>
    <w:tmpl w:val="951823D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5CC37DD"/>
    <w:multiLevelType w:val="multilevel"/>
    <w:tmpl w:val="95D0BFE4"/>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6" w15:restartNumberingAfterBreak="0">
    <w:nsid w:val="58EB7BCB"/>
    <w:multiLevelType w:val="multilevel"/>
    <w:tmpl w:val="CF440E18"/>
    <w:lvl w:ilvl="0">
      <w:start w:val="1"/>
      <w:numFmt w:val="decimal"/>
      <w:lvlText w:val="%1."/>
      <w:lvlJc w:val="left"/>
      <w:pPr>
        <w:ind w:left="585" w:hanging="480"/>
      </w:pPr>
    </w:lvl>
    <w:lvl w:ilvl="1">
      <w:start w:val="1"/>
      <w:numFmt w:val="ideographTraditional"/>
      <w:lvlText w:val="%2、"/>
      <w:lvlJc w:val="left"/>
      <w:pPr>
        <w:ind w:left="1065" w:hanging="480"/>
      </w:pPr>
    </w:lvl>
    <w:lvl w:ilvl="2">
      <w:start w:val="1"/>
      <w:numFmt w:val="lowerRoman"/>
      <w:lvlText w:val="%3."/>
      <w:lvlJc w:val="right"/>
      <w:pPr>
        <w:ind w:left="1545" w:hanging="480"/>
      </w:pPr>
    </w:lvl>
    <w:lvl w:ilvl="3">
      <w:start w:val="1"/>
      <w:numFmt w:val="decimal"/>
      <w:lvlText w:val="%4."/>
      <w:lvlJc w:val="left"/>
      <w:pPr>
        <w:ind w:left="2025" w:hanging="480"/>
      </w:pPr>
    </w:lvl>
    <w:lvl w:ilvl="4">
      <w:start w:val="1"/>
      <w:numFmt w:val="ideographTraditional"/>
      <w:lvlText w:val="%5、"/>
      <w:lvlJc w:val="left"/>
      <w:pPr>
        <w:ind w:left="2505" w:hanging="480"/>
      </w:pPr>
    </w:lvl>
    <w:lvl w:ilvl="5">
      <w:start w:val="1"/>
      <w:numFmt w:val="lowerRoman"/>
      <w:lvlText w:val="%6."/>
      <w:lvlJc w:val="right"/>
      <w:pPr>
        <w:ind w:left="2985" w:hanging="480"/>
      </w:pPr>
    </w:lvl>
    <w:lvl w:ilvl="6">
      <w:start w:val="1"/>
      <w:numFmt w:val="decimal"/>
      <w:lvlText w:val="%7."/>
      <w:lvlJc w:val="left"/>
      <w:pPr>
        <w:ind w:left="3465" w:hanging="480"/>
      </w:pPr>
    </w:lvl>
    <w:lvl w:ilvl="7">
      <w:start w:val="1"/>
      <w:numFmt w:val="ideographTraditional"/>
      <w:lvlText w:val="%8、"/>
      <w:lvlJc w:val="left"/>
      <w:pPr>
        <w:ind w:left="3945" w:hanging="480"/>
      </w:pPr>
    </w:lvl>
    <w:lvl w:ilvl="8">
      <w:start w:val="1"/>
      <w:numFmt w:val="lowerRoman"/>
      <w:lvlText w:val="%9."/>
      <w:lvlJc w:val="right"/>
      <w:pPr>
        <w:ind w:left="4425" w:hanging="480"/>
      </w:pPr>
    </w:lvl>
  </w:abstractNum>
  <w:abstractNum w:abstractNumId="7" w15:restartNumberingAfterBreak="0">
    <w:nsid w:val="6B5613D3"/>
    <w:multiLevelType w:val="multilevel"/>
    <w:tmpl w:val="8F961394"/>
    <w:lvl w:ilvl="0">
      <w:start w:val="1"/>
      <w:numFmt w:val="decimal"/>
      <w:lvlText w:val="%1."/>
      <w:lvlJc w:val="left"/>
      <w:pPr>
        <w:ind w:left="1756" w:hanging="480"/>
      </w:pPr>
      <w:rPr>
        <w:u w:val="none"/>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8" w15:restartNumberingAfterBreak="0">
    <w:nsid w:val="7CCB5C3F"/>
    <w:multiLevelType w:val="multilevel"/>
    <w:tmpl w:val="523C5E9A"/>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num w:numId="1">
    <w:abstractNumId w:val="1"/>
  </w:num>
  <w:num w:numId="2">
    <w:abstractNumId w:val="0"/>
  </w:num>
  <w:num w:numId="3">
    <w:abstractNumId w:val="8"/>
  </w:num>
  <w:num w:numId="4">
    <w:abstractNumId w:val="1"/>
    <w:lvlOverride w:ilvl="0">
      <w:startOverride w:val="1"/>
    </w:lvlOverride>
  </w:num>
  <w:num w:numId="5">
    <w:abstractNumId w:val="6"/>
  </w:num>
  <w:num w:numId="6">
    <w:abstractNumId w:val="4"/>
  </w:num>
  <w:num w:numId="7">
    <w:abstractNumId w:val="5"/>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B0CEB"/>
    <w:rsid w:val="004B0CEB"/>
    <w:rsid w:val="00770C38"/>
    <w:rsid w:val="00C00E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E9BEA-455E-4AFC-96A3-A9B9B809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textAlignment w:val="baseline"/>
    </w:pPr>
  </w:style>
  <w:style w:type="paragraph" w:customStyle="1" w:styleId="Textbody">
    <w:name w:val="Text body"/>
    <w:pPr>
      <w:widowControl w:val="0"/>
      <w:suppressAutoHyphens/>
      <w:textAlignment w:val="baseline"/>
    </w:p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styleId="a6">
    <w:name w:val="Balloon Text"/>
    <w:basedOn w:val="Textbody"/>
    <w:rPr>
      <w:rFonts w:ascii="Arial" w:eastAsia="Arial" w:hAnsi="Arial" w:cs="Arial"/>
      <w:sz w:val="18"/>
      <w:szCs w:val="18"/>
    </w:rPr>
  </w:style>
  <w:style w:type="character" w:customStyle="1" w:styleId="a7">
    <w:name w:val="頁首 字元"/>
    <w:basedOn w:val="a0"/>
    <w:rPr>
      <w:rFonts w:ascii="Times New Roman" w:eastAsia="新細明體" w:hAnsi="Times New Roman" w:cs="Times New Roman"/>
      <w:sz w:val="20"/>
      <w:szCs w:val="20"/>
    </w:rPr>
  </w:style>
  <w:style w:type="character" w:customStyle="1" w:styleId="a8">
    <w:name w:val="頁尾 字元"/>
    <w:basedOn w:val="a0"/>
    <w:rPr>
      <w:rFonts w:ascii="Times New Roman" w:eastAsia="新細明體" w:hAnsi="Times New Roman" w:cs="Times New Roman"/>
      <w:sz w:val="20"/>
      <w:szCs w:val="20"/>
    </w:rPr>
  </w:style>
  <w:style w:type="character" w:customStyle="1" w:styleId="a9">
    <w:name w:val="註解方塊文字 字元"/>
    <w:basedOn w:val="a0"/>
    <w:rPr>
      <w:rFonts w:ascii="Arial" w:eastAsia="新細明體" w:hAnsi="Arial" w:cs="Times New Roman"/>
      <w:sz w:val="18"/>
      <w:szCs w:val="18"/>
    </w:rPr>
  </w:style>
  <w:style w:type="character" w:customStyle="1" w:styleId="NumberingSymbols">
    <w:name w:val="Numbering Symbols"/>
    <w:rPr>
      <w:rFonts w:eastAsia="標楷體"/>
      <w:sz w:val="28"/>
      <w:szCs w:val="28"/>
    </w:rPr>
  </w:style>
  <w:style w:type="character" w:customStyle="1" w:styleId="BulletSymbols">
    <w:name w:val="Bullet Symbols"/>
    <w:rPr>
      <w:rFonts w:ascii="OpenSymbol" w:eastAsia="OpenSymbol" w:hAnsi="OpenSymbol" w:cs="OpenSymbol"/>
    </w:rPr>
  </w:style>
  <w:style w:type="numbering" w:customStyle="1" w:styleId="Numbering123">
    <w:name w:val="Numbering 12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12300;&#25945;&#32946;&#37096;&#22283;&#27665;&#21450;&#23416;&#21069;&#25945;&#32946;&#32626;&#35036;&#21161;&#36774;&#29702;&#23416;&#29983;&#20107;&#21209;&#33287;&#24615;&#21029;&#24179;&#31561;&#25945;&#32946;&#21450;&#36628;&#23566;&#24037;&#20316;&#35201;&#40670;&#12301;&#31532;3&#40670;&#12289;&#31532;4&#40670;&#12289;&#31532;7&#40670;&#20462;&#27491;&#35215;&#23450;odt&#27284;.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教署 國</dc:creator>
  <dc:description/>
  <cp:lastModifiedBy>owner</cp:lastModifiedBy>
  <cp:revision>2</cp:revision>
  <cp:lastPrinted>2023-12-19T12:25:00Z</cp:lastPrinted>
  <dcterms:created xsi:type="dcterms:W3CDTF">2024-02-01T02:10:00Z</dcterms:created>
  <dcterms:modified xsi:type="dcterms:W3CDTF">2024-02-01T02:10:00Z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